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B4" w:rsidRPr="0022678F" w:rsidRDefault="00E031B4" w:rsidP="00E031B4">
      <w:pPr>
        <w:ind w:right="-284"/>
        <w:jc w:val="right"/>
        <w:rPr>
          <w:rFonts w:ascii="Bookman Old Style" w:hAnsi="Bookman Old Style" w:cs="Arial"/>
          <w:b/>
          <w:sz w:val="18"/>
          <w:szCs w:val="18"/>
        </w:rPr>
      </w:pPr>
      <w:r w:rsidRPr="0022678F">
        <w:rPr>
          <w:rFonts w:ascii="Bookman Old Style" w:hAnsi="Bookman Old Style" w:cs="Arial"/>
          <w:b/>
          <w:sz w:val="18"/>
          <w:szCs w:val="18"/>
        </w:rPr>
        <w:t>121096 г. Москва, ул. Кастанаевская д. 16 Б</w:t>
      </w:r>
    </w:p>
    <w:p w:rsidR="00E031B4" w:rsidRPr="0022678F" w:rsidRDefault="00E031B4" w:rsidP="00E031B4">
      <w:pPr>
        <w:ind w:right="-284"/>
        <w:jc w:val="right"/>
        <w:rPr>
          <w:rFonts w:ascii="Bookman Old Style" w:hAnsi="Bookman Old Style" w:cs="Arial"/>
          <w:b/>
          <w:sz w:val="18"/>
          <w:szCs w:val="18"/>
          <w:lang w:val="en-US"/>
        </w:rPr>
      </w:pPr>
      <w:r w:rsidRPr="0022678F">
        <w:rPr>
          <w:rFonts w:ascii="Bookman Old Style" w:hAnsi="Bookman Old Style" w:cs="Arial"/>
          <w:b/>
          <w:noProof/>
          <w:sz w:val="18"/>
          <w:szCs w:val="18"/>
          <w:lang w:eastAsia="ru-RU"/>
        </w:rPr>
        <w:drawing>
          <wp:anchor distT="0" distB="0" distL="114300" distR="114300" simplePos="0" relativeHeight="251659264" behindDoc="1" locked="1" layoutInCell="1" allowOverlap="1">
            <wp:simplePos x="0" y="0"/>
            <wp:positionH relativeFrom="column">
              <wp:posOffset>-1319530</wp:posOffset>
            </wp:positionH>
            <wp:positionV relativeFrom="paragraph">
              <wp:posOffset>-670560</wp:posOffset>
            </wp:positionV>
            <wp:extent cx="7658100" cy="1500505"/>
            <wp:effectExtent l="19050" t="0" r="0" b="0"/>
            <wp:wrapNone/>
            <wp:docPr id="1" name="Рисунок 2" descr="Blank_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_верх"/>
                    <pic:cNvPicPr>
                      <a:picLocks noChangeAspect="1" noChangeArrowheads="1"/>
                    </pic:cNvPicPr>
                  </pic:nvPicPr>
                  <pic:blipFill>
                    <a:blip r:embed="rId4" cstate="print"/>
                    <a:srcRect/>
                    <a:stretch>
                      <a:fillRect/>
                    </a:stretch>
                  </pic:blipFill>
                  <pic:spPr bwMode="auto">
                    <a:xfrm>
                      <a:off x="0" y="0"/>
                      <a:ext cx="7658100" cy="1500505"/>
                    </a:xfrm>
                    <a:prstGeom prst="rect">
                      <a:avLst/>
                    </a:prstGeom>
                    <a:noFill/>
                  </pic:spPr>
                </pic:pic>
              </a:graphicData>
            </a:graphic>
          </wp:anchor>
        </w:drawing>
      </w:r>
      <w:r w:rsidRPr="0022678F">
        <w:rPr>
          <w:rFonts w:ascii="Bookman Old Style" w:hAnsi="Bookman Old Style" w:cs="Arial"/>
          <w:b/>
          <w:sz w:val="18"/>
          <w:szCs w:val="18"/>
          <w:lang w:val="en-US"/>
        </w:rPr>
        <w:t>(499) 142-41-98, (499) 142-59-30</w:t>
      </w:r>
    </w:p>
    <w:p w:rsidR="00E031B4" w:rsidRPr="0022678F" w:rsidRDefault="00E031B4" w:rsidP="00E031B4">
      <w:pPr>
        <w:ind w:right="-284"/>
        <w:jc w:val="right"/>
        <w:rPr>
          <w:rFonts w:ascii="Bookman Old Style" w:hAnsi="Bookman Old Style" w:cs="Arial"/>
          <w:b/>
          <w:sz w:val="18"/>
          <w:szCs w:val="18"/>
          <w:lang w:val="en-US"/>
        </w:rPr>
      </w:pPr>
      <w:proofErr w:type="gramStart"/>
      <w:r w:rsidRPr="0022678F">
        <w:rPr>
          <w:rFonts w:ascii="Bookman Old Style" w:hAnsi="Bookman Old Style" w:cs="Arial"/>
          <w:b/>
          <w:sz w:val="18"/>
          <w:szCs w:val="18"/>
          <w:lang w:val="en-US"/>
        </w:rPr>
        <w:t>e-mail</w:t>
      </w:r>
      <w:proofErr w:type="gramEnd"/>
      <w:r w:rsidRPr="0022678F">
        <w:rPr>
          <w:rFonts w:ascii="Bookman Old Style" w:hAnsi="Bookman Old Style" w:cs="Arial"/>
          <w:b/>
          <w:sz w:val="18"/>
          <w:szCs w:val="18"/>
          <w:lang w:val="en-US"/>
        </w:rPr>
        <w:t xml:space="preserve">: </w:t>
      </w:r>
      <w:hyperlink r:id="rId5" w:history="1">
        <w:r w:rsidRPr="0022678F">
          <w:rPr>
            <w:rStyle w:val="a5"/>
            <w:rFonts w:ascii="Bookman Old Style" w:hAnsi="Bookman Old Style" w:cs="Arial"/>
            <w:b/>
            <w:sz w:val="18"/>
            <w:szCs w:val="18"/>
            <w:lang w:val="en-US"/>
          </w:rPr>
          <w:t>marussia@marussia-tour.ru</w:t>
        </w:r>
      </w:hyperlink>
      <w:r w:rsidRPr="0022678F">
        <w:rPr>
          <w:rFonts w:ascii="Bookman Old Style" w:hAnsi="Bookman Old Style" w:cs="Arial"/>
          <w:b/>
          <w:sz w:val="18"/>
          <w:szCs w:val="18"/>
          <w:lang w:val="en-US"/>
        </w:rPr>
        <w:t xml:space="preserve"> </w:t>
      </w:r>
    </w:p>
    <w:p w:rsidR="00E031B4" w:rsidRDefault="00E031B4" w:rsidP="00E031B4">
      <w:pPr>
        <w:ind w:right="-284"/>
        <w:jc w:val="right"/>
        <w:rPr>
          <w:rFonts w:ascii="Bookman Old Style" w:hAnsi="Bookman Old Style"/>
          <w:sz w:val="20"/>
          <w:szCs w:val="20"/>
        </w:rPr>
      </w:pPr>
      <w:r w:rsidRPr="0022678F">
        <w:rPr>
          <w:rFonts w:ascii="Bookman Old Style" w:hAnsi="Bookman Old Style" w:cs="Arial"/>
          <w:b/>
          <w:sz w:val="18"/>
          <w:szCs w:val="18"/>
        </w:rPr>
        <w:t xml:space="preserve">сайт </w:t>
      </w:r>
      <w:hyperlink r:id="rId6" w:history="1">
        <w:r w:rsidRPr="0022678F">
          <w:rPr>
            <w:rStyle w:val="a5"/>
            <w:rFonts w:ascii="Bookman Old Style" w:hAnsi="Bookman Old Style" w:cs="Arial"/>
            <w:b/>
            <w:sz w:val="18"/>
            <w:szCs w:val="18"/>
            <w:lang w:val="en-US"/>
          </w:rPr>
          <w:t>www</w:t>
        </w:r>
        <w:r w:rsidRPr="0022678F">
          <w:rPr>
            <w:rStyle w:val="a5"/>
            <w:rFonts w:ascii="Bookman Old Style" w:hAnsi="Bookman Old Style" w:cs="Arial"/>
            <w:b/>
            <w:sz w:val="18"/>
            <w:szCs w:val="18"/>
          </w:rPr>
          <w:t>.</w:t>
        </w:r>
        <w:proofErr w:type="spellStart"/>
        <w:r w:rsidRPr="0022678F">
          <w:rPr>
            <w:rStyle w:val="a5"/>
            <w:rFonts w:ascii="Bookman Old Style" w:hAnsi="Bookman Old Style" w:cs="Arial"/>
            <w:b/>
            <w:sz w:val="18"/>
            <w:szCs w:val="18"/>
            <w:lang w:val="en-US"/>
          </w:rPr>
          <w:t>marussia</w:t>
        </w:r>
        <w:proofErr w:type="spellEnd"/>
        <w:r w:rsidRPr="0022678F">
          <w:rPr>
            <w:rStyle w:val="a5"/>
            <w:rFonts w:ascii="Bookman Old Style" w:hAnsi="Bookman Old Style" w:cs="Arial"/>
            <w:b/>
            <w:sz w:val="18"/>
            <w:szCs w:val="18"/>
          </w:rPr>
          <w:t>-</w:t>
        </w:r>
        <w:r w:rsidRPr="0022678F">
          <w:rPr>
            <w:rStyle w:val="a5"/>
            <w:rFonts w:ascii="Bookman Old Style" w:hAnsi="Bookman Old Style" w:cs="Arial"/>
            <w:b/>
            <w:sz w:val="18"/>
            <w:szCs w:val="18"/>
            <w:lang w:val="en-US"/>
          </w:rPr>
          <w:t>tour</w:t>
        </w:r>
        <w:r w:rsidRPr="0022678F">
          <w:rPr>
            <w:rStyle w:val="a5"/>
            <w:rFonts w:ascii="Bookman Old Style" w:hAnsi="Bookman Old Style" w:cs="Arial"/>
            <w:b/>
            <w:sz w:val="18"/>
            <w:szCs w:val="18"/>
          </w:rPr>
          <w:t>.</w:t>
        </w:r>
        <w:proofErr w:type="spellStart"/>
        <w:r w:rsidRPr="0022678F">
          <w:rPr>
            <w:rStyle w:val="a5"/>
            <w:rFonts w:ascii="Bookman Old Style" w:hAnsi="Bookman Old Style" w:cs="Arial"/>
            <w:b/>
            <w:sz w:val="18"/>
            <w:szCs w:val="18"/>
            <w:lang w:val="en-US"/>
          </w:rPr>
          <w:t>ru</w:t>
        </w:r>
        <w:proofErr w:type="spellEnd"/>
      </w:hyperlink>
    </w:p>
    <w:p w:rsidR="00E031B4" w:rsidRDefault="00E031B4" w:rsidP="00E031B4">
      <w:pPr>
        <w:ind w:right="-568"/>
        <w:jc w:val="right"/>
        <w:rPr>
          <w:rFonts w:ascii="Bookman Old Style" w:hAnsi="Bookman Old Style"/>
          <w:sz w:val="20"/>
          <w:szCs w:val="20"/>
        </w:rPr>
      </w:pPr>
    </w:p>
    <w:p w:rsidR="00E031B4" w:rsidRDefault="00E031B4" w:rsidP="00E031B4">
      <w:pPr>
        <w:ind w:left="-1560" w:right="-710"/>
      </w:pPr>
    </w:p>
    <w:p w:rsidR="00E031B4" w:rsidRPr="00232493" w:rsidRDefault="00E031B4" w:rsidP="009751A0">
      <w:pPr>
        <w:shd w:val="clear" w:color="auto" w:fill="FFFFFF"/>
        <w:jc w:val="left"/>
        <w:rPr>
          <w:rFonts w:ascii="Bookman Old Style" w:eastAsia="Times New Roman" w:hAnsi="Bookman Old Style" w:cs="Arial"/>
          <w:b/>
          <w:color w:val="333333"/>
          <w:sz w:val="18"/>
          <w:szCs w:val="18"/>
          <w:lang w:eastAsia="ru-RU"/>
        </w:rPr>
      </w:pPr>
    </w:p>
    <w:p w:rsidR="00232493" w:rsidRPr="00232493" w:rsidRDefault="00232493" w:rsidP="00232493">
      <w:pPr>
        <w:jc w:val="center"/>
        <w:rPr>
          <w:rFonts w:ascii="Bookman Old Style" w:hAnsi="Bookman Old Style"/>
          <w:b/>
          <w:bCs/>
          <w:sz w:val="18"/>
          <w:szCs w:val="18"/>
        </w:rPr>
      </w:pPr>
      <w:r w:rsidRPr="00232493">
        <w:rPr>
          <w:rFonts w:ascii="Bookman Old Style" w:hAnsi="Bookman Old Style"/>
          <w:b/>
          <w:bCs/>
          <w:sz w:val="18"/>
          <w:szCs w:val="18"/>
        </w:rPr>
        <w:t>ФРАНЦИЯ И РОССИЯ. ДЕСЯТЬ ВЕКОВ ВМЕСТЕ</w:t>
      </w:r>
    </w:p>
    <w:p w:rsidR="00232493" w:rsidRPr="00232493" w:rsidRDefault="00232493" w:rsidP="00232493">
      <w:pPr>
        <w:jc w:val="center"/>
        <w:rPr>
          <w:rFonts w:ascii="Bookman Old Style" w:hAnsi="Bookman Old Style"/>
          <w:b/>
          <w:bCs/>
          <w:sz w:val="18"/>
          <w:szCs w:val="18"/>
        </w:rPr>
      </w:pPr>
      <w:r w:rsidRPr="00232493">
        <w:rPr>
          <w:rFonts w:ascii="Bookman Old Style" w:hAnsi="Bookman Old Style"/>
          <w:b/>
          <w:bCs/>
          <w:sz w:val="18"/>
          <w:szCs w:val="18"/>
        </w:rPr>
        <w:t>17.09.2021 – 09.01.2022</w:t>
      </w:r>
    </w:p>
    <w:p w:rsidR="00232493" w:rsidRPr="00232493" w:rsidRDefault="00232493" w:rsidP="00232493">
      <w:pPr>
        <w:jc w:val="center"/>
        <w:rPr>
          <w:rFonts w:ascii="Bookman Old Style" w:hAnsi="Bookman Old Style"/>
          <w:sz w:val="18"/>
          <w:szCs w:val="18"/>
        </w:rPr>
      </w:pPr>
      <w:r w:rsidRPr="00232493">
        <w:rPr>
          <w:rFonts w:ascii="Bookman Old Style" w:hAnsi="Bookman Old Style"/>
          <w:b/>
          <w:bCs/>
          <w:sz w:val="18"/>
          <w:szCs w:val="18"/>
        </w:rPr>
        <w:t>Выставочный зал Патриаршего дворца, выставочный зал Успенской звонницы</w:t>
      </w:r>
    </w:p>
    <w:p w:rsidR="00232493" w:rsidRPr="00232493" w:rsidRDefault="00232493" w:rsidP="00232493">
      <w:pPr>
        <w:rPr>
          <w:rFonts w:ascii="Bookman Old Style" w:hAnsi="Bookman Old Style"/>
          <w:sz w:val="18"/>
          <w:szCs w:val="18"/>
        </w:rPr>
      </w:pPr>
      <w:r w:rsidRPr="00232493">
        <w:rPr>
          <w:rFonts w:ascii="Bookman Old Style" w:hAnsi="Bookman Old Style"/>
          <w:b/>
          <w:bCs/>
          <w:sz w:val="18"/>
          <w:szCs w:val="18"/>
        </w:rPr>
        <w:t>Участники:</w:t>
      </w:r>
    </w:p>
    <w:p w:rsidR="00232493" w:rsidRPr="00232493" w:rsidRDefault="00232493" w:rsidP="00232493">
      <w:pPr>
        <w:rPr>
          <w:rFonts w:ascii="Bookman Old Style" w:hAnsi="Bookman Old Style"/>
          <w:sz w:val="18"/>
          <w:szCs w:val="18"/>
        </w:rPr>
      </w:pPr>
      <w:r w:rsidRPr="00232493">
        <w:rPr>
          <w:rFonts w:ascii="Bookman Old Style" w:hAnsi="Bookman Old Style"/>
          <w:sz w:val="18"/>
          <w:szCs w:val="18"/>
        </w:rPr>
        <w:t xml:space="preserve">Музеи Московского Кремля, Национальный музей замков Версаль и Трианон, Музей Виктории и Альберта, Национальный музей замков </w:t>
      </w:r>
      <w:proofErr w:type="spellStart"/>
      <w:r w:rsidRPr="00232493">
        <w:rPr>
          <w:rFonts w:ascii="Bookman Old Style" w:hAnsi="Bookman Old Style"/>
          <w:sz w:val="18"/>
          <w:szCs w:val="18"/>
        </w:rPr>
        <w:t>Мальмезон</w:t>
      </w:r>
      <w:proofErr w:type="spellEnd"/>
      <w:r w:rsidRPr="00232493">
        <w:rPr>
          <w:rFonts w:ascii="Bookman Old Style" w:hAnsi="Bookman Old Style"/>
          <w:sz w:val="18"/>
          <w:szCs w:val="18"/>
        </w:rPr>
        <w:t xml:space="preserve"> и </w:t>
      </w:r>
      <w:proofErr w:type="spellStart"/>
      <w:r w:rsidRPr="00232493">
        <w:rPr>
          <w:rFonts w:ascii="Bookman Old Style" w:hAnsi="Bookman Old Style"/>
          <w:sz w:val="18"/>
          <w:szCs w:val="18"/>
        </w:rPr>
        <w:t>Буа-Прео</w:t>
      </w:r>
      <w:proofErr w:type="spellEnd"/>
      <w:r w:rsidRPr="00232493">
        <w:rPr>
          <w:rFonts w:ascii="Bookman Old Style" w:hAnsi="Bookman Old Style"/>
          <w:sz w:val="18"/>
          <w:szCs w:val="18"/>
        </w:rPr>
        <w:t>, Национальная библиотека Франции, Муниципальная библиотека г. Реймса, Государственная Третьяковская галерея, Государственный музей изобразительных искусств имени А.С. Пушкина, Государственный научно-исследовательский музей архитектуры имени А.В. Щусева, Государственный Эрмитаж, Государственный музей-заповедник «Павловск», Российская государственная библиотека, Санкт-Петербургский филиал Архива Российской академии наук, Российский государственный архив древних актов </w:t>
      </w:r>
    </w:p>
    <w:p w:rsidR="00232493" w:rsidRDefault="00232493" w:rsidP="00232493">
      <w:pPr>
        <w:rPr>
          <w:rFonts w:ascii="Bookman Old Style" w:hAnsi="Bookman Old Style"/>
          <w:sz w:val="18"/>
          <w:szCs w:val="18"/>
        </w:rPr>
      </w:pPr>
    </w:p>
    <w:p w:rsidR="00232493" w:rsidRPr="00232493" w:rsidRDefault="00232493" w:rsidP="00232493">
      <w:pPr>
        <w:rPr>
          <w:rFonts w:ascii="Bookman Old Style" w:hAnsi="Bookman Old Style"/>
          <w:sz w:val="18"/>
          <w:szCs w:val="18"/>
        </w:rPr>
      </w:pPr>
      <w:r w:rsidRPr="00232493">
        <w:rPr>
          <w:rFonts w:ascii="Bookman Old Style" w:hAnsi="Bookman Old Style"/>
          <w:sz w:val="18"/>
          <w:szCs w:val="18"/>
        </w:rPr>
        <w:t>Выставка</w:t>
      </w:r>
      <w:r>
        <w:rPr>
          <w:rFonts w:ascii="Bookman Old Style" w:hAnsi="Bookman Old Style"/>
          <w:sz w:val="18"/>
          <w:szCs w:val="18"/>
        </w:rPr>
        <w:t xml:space="preserve"> </w:t>
      </w:r>
      <w:r w:rsidRPr="00232493">
        <w:rPr>
          <w:rFonts w:ascii="Bookman Old Style" w:hAnsi="Bookman Old Style"/>
          <w:sz w:val="18"/>
          <w:szCs w:val="18"/>
        </w:rPr>
        <w:t>посвящена многовековой истории культурных и дипломатических отношений двух стран. На ней представлено более двухсот экспонатов: мемориальные предметы, бесценные архивные документы и высокохудожественные произведения из российских и зарубежных музеев.</w:t>
      </w:r>
    </w:p>
    <w:p w:rsidR="00232493" w:rsidRDefault="00232493" w:rsidP="00232493">
      <w:pPr>
        <w:rPr>
          <w:rFonts w:ascii="Bookman Old Style" w:hAnsi="Bookman Old Style"/>
          <w:sz w:val="18"/>
          <w:szCs w:val="18"/>
        </w:rPr>
      </w:pPr>
      <w:r w:rsidRPr="00232493">
        <w:rPr>
          <w:rFonts w:ascii="Bookman Old Style" w:hAnsi="Bookman Old Style"/>
          <w:sz w:val="18"/>
          <w:szCs w:val="18"/>
        </w:rPr>
        <w:t xml:space="preserve">Выставку открывает уникальный документ, напоминающий о важном политическом событии XI </w:t>
      </w:r>
      <w:proofErr w:type="gramStart"/>
      <w:r w:rsidRPr="00232493">
        <w:rPr>
          <w:rFonts w:ascii="Bookman Old Style" w:hAnsi="Bookman Old Style"/>
          <w:sz w:val="18"/>
          <w:szCs w:val="18"/>
        </w:rPr>
        <w:t>века  —</w:t>
      </w:r>
      <w:proofErr w:type="gramEnd"/>
      <w:r w:rsidRPr="00232493">
        <w:rPr>
          <w:rFonts w:ascii="Bookman Old Style" w:hAnsi="Bookman Old Style"/>
          <w:sz w:val="18"/>
          <w:szCs w:val="18"/>
        </w:rPr>
        <w:t xml:space="preserve"> династическом браке дочери великого князя Ярослава Мудрого княжны Анны Ярославны и французского короля Генриха I. Национальная библиотека Франции предоставила на выставку грамоту 1063 года с кириллической надписью, предположительно, автографом Анны Ярославны. </w:t>
      </w:r>
    </w:p>
    <w:p w:rsidR="00232493" w:rsidRDefault="00232493" w:rsidP="00232493">
      <w:pPr>
        <w:rPr>
          <w:rFonts w:ascii="Bookman Old Style" w:hAnsi="Bookman Old Style"/>
          <w:sz w:val="18"/>
          <w:szCs w:val="18"/>
        </w:rPr>
      </w:pPr>
      <w:r w:rsidRPr="00232493">
        <w:rPr>
          <w:rFonts w:ascii="Bookman Old Style" w:hAnsi="Bookman Old Style"/>
          <w:sz w:val="18"/>
          <w:szCs w:val="18"/>
        </w:rPr>
        <w:t xml:space="preserve"> Начиная с XVII века дипломатические контакты России и Франции получили более динамичное </w:t>
      </w:r>
    </w:p>
    <w:p w:rsidR="00232493" w:rsidRPr="00232493" w:rsidRDefault="00232493" w:rsidP="00232493">
      <w:pPr>
        <w:rPr>
          <w:rFonts w:ascii="Bookman Old Style" w:hAnsi="Bookman Old Style"/>
          <w:sz w:val="18"/>
          <w:szCs w:val="18"/>
        </w:rPr>
      </w:pPr>
      <w:r w:rsidRPr="00232493">
        <w:rPr>
          <w:rFonts w:ascii="Bookman Old Style" w:hAnsi="Bookman Old Style"/>
          <w:sz w:val="18"/>
          <w:szCs w:val="18"/>
        </w:rPr>
        <w:t>В XVIII столетии политический диалог России и Франции сопровождался приобретением произведений живописи и скульптуры, оружия, тканей и ювелирных изделий у знаменитых французских мастеров, крупными заказами для российского императорского двора, а также приглашением в Россию выдающихся французских художников. Об увлечении французским искусством свидетельствуют представленные на выставке шпалеры, парадные костюмы внука Петра I, юного императора Петра II, изысканные кружева российских государынь, предметы из серебряного Парижского сервиза императрицы Елизаветы Петровны, великолепное оружие французских мастеров, в том числе пара пистолетов, принадлежавшая императору Петру II работы королевского оружейника Жана-Батиста Лароша.</w:t>
      </w:r>
    </w:p>
    <w:p w:rsidR="00232493" w:rsidRPr="00232493" w:rsidRDefault="00232493" w:rsidP="00232493">
      <w:pPr>
        <w:rPr>
          <w:rFonts w:ascii="Bookman Old Style" w:hAnsi="Bookman Old Style"/>
          <w:sz w:val="18"/>
          <w:szCs w:val="18"/>
        </w:rPr>
      </w:pPr>
      <w:r w:rsidRPr="00232493">
        <w:rPr>
          <w:rFonts w:ascii="Bookman Old Style" w:hAnsi="Bookman Old Style"/>
          <w:sz w:val="18"/>
          <w:szCs w:val="18"/>
        </w:rPr>
        <w:t> </w:t>
      </w:r>
      <w:r w:rsidRPr="00232493">
        <w:rPr>
          <w:rFonts w:ascii="Bookman Old Style" w:hAnsi="Bookman Old Style"/>
          <w:sz w:val="18"/>
          <w:szCs w:val="18"/>
        </w:rPr>
        <w:drawing>
          <wp:inline distT="0" distB="0" distL="0" distR="0" wp14:anchorId="0C86849D" wp14:editId="1F9A3183">
            <wp:extent cx="1276350" cy="1714500"/>
            <wp:effectExtent l="0" t="0" r="0" b="0"/>
            <wp:docPr id="34" name="Рисунок 34" descr="Шпалера «Портрет Петра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25" descr="Шпалера «Портрет Петра I»">
                      <a:hlinkClick r:id="rId7" tooltip="&quot;Шпалера «Портрет Петра I»&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inline>
        </w:drawing>
      </w:r>
      <w:r w:rsidRPr="00232493">
        <w:rPr>
          <w:rFonts w:ascii="Bookman Old Style" w:hAnsi="Bookman Old Style"/>
          <w:sz w:val="18"/>
          <w:szCs w:val="18"/>
        </w:rPr>
        <w:t> </w:t>
      </w:r>
      <w:r w:rsidRPr="00232493">
        <w:rPr>
          <w:rFonts w:ascii="Bookman Old Style" w:hAnsi="Bookman Old Style"/>
          <w:sz w:val="18"/>
          <w:szCs w:val="18"/>
        </w:rPr>
        <w:drawing>
          <wp:inline distT="0" distB="0" distL="0" distR="0" wp14:anchorId="796A2416" wp14:editId="77F7545A">
            <wp:extent cx="2152650" cy="1714500"/>
            <wp:effectExtent l="0" t="0" r="0" b="0"/>
            <wp:docPr id="33" name="Рисунок 33" descr="Табак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29" descr="Табакерка">
                      <a:hlinkClick r:id="rId9" tooltip="&quot;Табакерка&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r w:rsidRPr="00232493">
        <w:rPr>
          <w:rFonts w:ascii="Bookman Old Style" w:hAnsi="Bookman Old Style"/>
          <w:sz w:val="18"/>
          <w:szCs w:val="18"/>
        </w:rPr>
        <w:t> </w:t>
      </w:r>
      <w:r w:rsidRPr="00232493">
        <w:rPr>
          <w:rFonts w:ascii="Bookman Old Style" w:hAnsi="Bookman Old Style"/>
          <w:sz w:val="18"/>
          <w:szCs w:val="18"/>
        </w:rPr>
        <w:drawing>
          <wp:inline distT="0" distB="0" distL="0" distR="0" wp14:anchorId="666C0458" wp14:editId="58EF835A">
            <wp:extent cx="1047750" cy="1714500"/>
            <wp:effectExtent l="0" t="0" r="0" b="0"/>
            <wp:docPr id="32" name="Рисунок 32" descr="Кафтан и камзол императора Петра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26" descr="Кафтан и камзол императора Петра II">
                      <a:hlinkClick r:id="rId11" tooltip="&quot;Кафтан и камзол императора Петра II&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714500"/>
                    </a:xfrm>
                    <a:prstGeom prst="rect">
                      <a:avLst/>
                    </a:prstGeom>
                    <a:noFill/>
                    <a:ln>
                      <a:noFill/>
                    </a:ln>
                  </pic:spPr>
                </pic:pic>
              </a:graphicData>
            </a:graphic>
          </wp:inline>
        </w:drawing>
      </w:r>
      <w:r w:rsidRPr="00232493">
        <w:rPr>
          <w:rFonts w:ascii="Bookman Old Style" w:hAnsi="Bookman Old Style"/>
          <w:sz w:val="18"/>
          <w:szCs w:val="18"/>
        </w:rPr>
        <w:t> </w:t>
      </w:r>
      <w:r w:rsidRPr="00232493">
        <w:rPr>
          <w:rFonts w:ascii="Bookman Old Style" w:hAnsi="Bookman Old Style"/>
          <w:sz w:val="18"/>
          <w:szCs w:val="18"/>
        </w:rPr>
        <w:drawing>
          <wp:inline distT="0" distB="0" distL="0" distR="0" wp14:anchorId="778EF64C" wp14:editId="428BC34F">
            <wp:extent cx="1257300" cy="1714500"/>
            <wp:effectExtent l="0" t="0" r="0" b="0"/>
            <wp:docPr id="31" name="Рисунок 31" descr="Платье домаш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28" descr="Платье домашнее">
                      <a:hlinkClick r:id="rId13" tooltip="&quot;Платье домашнее&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inline>
        </w:drawing>
      </w:r>
    </w:p>
    <w:p w:rsidR="00232493" w:rsidRPr="00232493" w:rsidRDefault="00232493" w:rsidP="00232493">
      <w:pPr>
        <w:rPr>
          <w:rFonts w:ascii="Bookman Old Style" w:hAnsi="Bookman Old Style"/>
          <w:sz w:val="18"/>
          <w:szCs w:val="18"/>
        </w:rPr>
      </w:pPr>
      <w:r w:rsidRPr="00232493">
        <w:rPr>
          <w:rFonts w:ascii="Bookman Old Style" w:hAnsi="Bookman Old Style"/>
          <w:sz w:val="18"/>
          <w:szCs w:val="18"/>
        </w:rPr>
        <w:t xml:space="preserve">Портреты из собрания Государственного музея изобразительных искусств имени А.С. Пушкина позволяют воссоздать галерею выдающихся политических и культурных деятелей времен правления императриц Елизаветы Петровны и Екатерины II: российского посла во Франции князя Дмитрия Михайловича Голицына, известного галломана и «вольтерьянца» графа Андрея Петровича Шувалова, а также сына французского короля Людовика XV – дофина Людовика. В разделе, посвященном эпохе Екатерины II, представлены предметы знаменитого Орловского сервиза работы Жака-Николя </w:t>
      </w:r>
      <w:proofErr w:type="spellStart"/>
      <w:r w:rsidRPr="00232493">
        <w:rPr>
          <w:rFonts w:ascii="Bookman Old Style" w:hAnsi="Bookman Old Style"/>
          <w:sz w:val="18"/>
          <w:szCs w:val="18"/>
        </w:rPr>
        <w:t>Ретье</w:t>
      </w:r>
      <w:proofErr w:type="spellEnd"/>
      <w:r w:rsidRPr="00232493">
        <w:rPr>
          <w:rFonts w:ascii="Bookman Old Style" w:hAnsi="Bookman Old Style"/>
          <w:sz w:val="18"/>
          <w:szCs w:val="18"/>
        </w:rPr>
        <w:t xml:space="preserve"> и принадлежавший императрице драгоценный письменный прибор с часами, выполненный парижским </w:t>
      </w:r>
      <w:proofErr w:type="gramStart"/>
      <w:r w:rsidRPr="00232493">
        <w:rPr>
          <w:rFonts w:ascii="Bookman Old Style" w:hAnsi="Bookman Old Style"/>
          <w:sz w:val="18"/>
          <w:szCs w:val="18"/>
        </w:rPr>
        <w:t xml:space="preserve">мастером. </w:t>
      </w:r>
      <w:proofErr w:type="gramEnd"/>
      <w:r w:rsidRPr="00232493">
        <w:rPr>
          <w:rFonts w:ascii="Bookman Old Style" w:hAnsi="Bookman Old Style"/>
          <w:sz w:val="18"/>
          <w:szCs w:val="18"/>
        </w:rPr>
        <w:t>Уникальные экспонаты из собрания Музея-заповедника «Павловск» напоминают о заграничном путешествии великого князя Павла Петровича и его супруги великой княгини Марии Федоровны, а годы Великой французской революции находят отражение в редчайших мемориальных предметах и портретах, выполненных любимой художницей королевы Марии-</w:t>
      </w:r>
      <w:proofErr w:type="spellStart"/>
      <w:r w:rsidRPr="00232493">
        <w:rPr>
          <w:rFonts w:ascii="Bookman Old Style" w:hAnsi="Bookman Old Style"/>
          <w:sz w:val="18"/>
          <w:szCs w:val="18"/>
        </w:rPr>
        <w:t>Антуанетты</w:t>
      </w:r>
      <w:proofErr w:type="spellEnd"/>
      <w:r w:rsidRPr="00232493">
        <w:rPr>
          <w:rFonts w:ascii="Bookman Old Style" w:hAnsi="Bookman Old Style"/>
          <w:sz w:val="18"/>
          <w:szCs w:val="18"/>
        </w:rPr>
        <w:t xml:space="preserve"> Элизабет </w:t>
      </w:r>
      <w:proofErr w:type="spellStart"/>
      <w:r w:rsidRPr="00232493">
        <w:rPr>
          <w:rFonts w:ascii="Bookman Old Style" w:hAnsi="Bookman Old Style"/>
          <w:sz w:val="18"/>
          <w:szCs w:val="18"/>
        </w:rPr>
        <w:t>Виже-Лебрен</w:t>
      </w:r>
      <w:proofErr w:type="spellEnd"/>
      <w:r w:rsidRPr="00232493">
        <w:rPr>
          <w:rFonts w:ascii="Bookman Old Style" w:hAnsi="Bookman Old Style"/>
          <w:sz w:val="18"/>
          <w:szCs w:val="18"/>
        </w:rPr>
        <w:t>.</w:t>
      </w:r>
    </w:p>
    <w:p w:rsidR="00232493" w:rsidRPr="00232493" w:rsidRDefault="00232493" w:rsidP="00232493">
      <w:pPr>
        <w:rPr>
          <w:rFonts w:ascii="Bookman Old Style" w:hAnsi="Bookman Old Style"/>
          <w:sz w:val="18"/>
          <w:szCs w:val="18"/>
        </w:rPr>
      </w:pPr>
      <w:r w:rsidRPr="00232493">
        <w:rPr>
          <w:rFonts w:ascii="Bookman Old Style" w:hAnsi="Bookman Old Style"/>
          <w:sz w:val="18"/>
          <w:szCs w:val="18"/>
        </w:rPr>
        <w:drawing>
          <wp:inline distT="0" distB="0" distL="0" distR="0" wp14:anchorId="06D097BA" wp14:editId="0B596EE0">
            <wp:extent cx="1485900" cy="1714500"/>
            <wp:effectExtent l="0" t="0" r="0" b="0"/>
            <wp:docPr id="30" name="Рисунок 30" descr="Передача бутылочная из «Орловского серв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42" descr="Передача бутылочная из «Орловского сервиза»">
                      <a:hlinkClick r:id="rId15" tooltip="&quot;Передача бутылочная из «Орловского сервиза»&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1714500"/>
                    </a:xfrm>
                    <a:prstGeom prst="rect">
                      <a:avLst/>
                    </a:prstGeom>
                    <a:noFill/>
                    <a:ln>
                      <a:noFill/>
                    </a:ln>
                  </pic:spPr>
                </pic:pic>
              </a:graphicData>
            </a:graphic>
          </wp:inline>
        </w:drawing>
      </w:r>
      <w:r w:rsidRPr="00232493">
        <w:rPr>
          <w:rFonts w:ascii="Bookman Old Style" w:hAnsi="Bookman Old Style"/>
          <w:sz w:val="18"/>
          <w:szCs w:val="18"/>
        </w:rPr>
        <w:t> </w:t>
      </w:r>
      <w:r w:rsidRPr="00232493">
        <w:rPr>
          <w:rFonts w:ascii="Bookman Old Style" w:hAnsi="Bookman Old Style"/>
          <w:sz w:val="18"/>
          <w:szCs w:val="18"/>
        </w:rPr>
        <w:drawing>
          <wp:inline distT="0" distB="0" distL="0" distR="0" wp14:anchorId="00FF329D" wp14:editId="59455D17">
            <wp:extent cx="1993673" cy="1717040"/>
            <wp:effectExtent l="0" t="0" r="0" b="0"/>
            <wp:docPr id="29" name="Рисунок 29" descr="Письменный прибор с час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445" descr="Письменный прибор с часами">
                      <a:hlinkClick r:id="rId17" tooltip="&quot;Письменный прибор с часами&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3265" cy="1725301"/>
                    </a:xfrm>
                    <a:prstGeom prst="rect">
                      <a:avLst/>
                    </a:prstGeom>
                    <a:noFill/>
                    <a:ln>
                      <a:noFill/>
                    </a:ln>
                  </pic:spPr>
                </pic:pic>
              </a:graphicData>
            </a:graphic>
          </wp:inline>
        </w:drawing>
      </w:r>
      <w:r>
        <w:rPr>
          <w:rFonts w:ascii="Bookman Old Style" w:hAnsi="Bookman Old Style"/>
          <w:noProof/>
          <w:sz w:val="18"/>
          <w:szCs w:val="18"/>
          <w:lang w:eastAsia="ru-RU"/>
        </w:rPr>
        <w:drawing>
          <wp:inline distT="0" distB="0" distL="0" distR="0" wp14:anchorId="4EFDF59F">
            <wp:extent cx="2595757" cy="17283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5263" cy="1741357"/>
                    </a:xfrm>
                    <a:prstGeom prst="rect">
                      <a:avLst/>
                    </a:prstGeom>
                    <a:noFill/>
                  </pic:spPr>
                </pic:pic>
              </a:graphicData>
            </a:graphic>
          </wp:inline>
        </w:drawing>
      </w:r>
      <w:r w:rsidRPr="00232493">
        <w:rPr>
          <w:rFonts w:ascii="Bookman Old Style" w:hAnsi="Bookman Old Style"/>
          <w:sz w:val="18"/>
          <w:szCs w:val="18"/>
        </w:rPr>
        <w:t>  </w:t>
      </w:r>
    </w:p>
    <w:p w:rsidR="00232493" w:rsidRPr="00232493" w:rsidRDefault="00232493" w:rsidP="00232493">
      <w:pPr>
        <w:rPr>
          <w:rFonts w:ascii="Bookman Old Style" w:hAnsi="Bookman Old Style"/>
          <w:sz w:val="18"/>
          <w:szCs w:val="18"/>
        </w:rPr>
      </w:pPr>
      <w:r w:rsidRPr="00232493">
        <w:rPr>
          <w:rFonts w:ascii="Bookman Old Style" w:hAnsi="Bookman Old Style"/>
          <w:sz w:val="18"/>
          <w:szCs w:val="18"/>
        </w:rPr>
        <w:t>  </w:t>
      </w:r>
    </w:p>
    <w:p w:rsidR="00232493" w:rsidRPr="00232493" w:rsidRDefault="00232493" w:rsidP="00232493">
      <w:pPr>
        <w:rPr>
          <w:rFonts w:ascii="Bookman Old Style" w:hAnsi="Bookman Old Style"/>
          <w:sz w:val="18"/>
          <w:szCs w:val="18"/>
        </w:rPr>
      </w:pPr>
      <w:r w:rsidRPr="00232493">
        <w:rPr>
          <w:rFonts w:ascii="Bookman Old Style" w:hAnsi="Bookman Old Style"/>
          <w:sz w:val="18"/>
          <w:szCs w:val="18"/>
        </w:rPr>
        <w:lastRenderedPageBreak/>
        <w:t xml:space="preserve">Особый раздел экспозиции посвящен взаимоотношениям России и Франции в период правления императора Александра I. Здесь представлены предметы из Олимпийского сервиза, созданного на Севрской фарфоровой мануфактуре и в дальнейшем преподнесенного русскому государю Александру I императором Наполеоном I по случаю заключения </w:t>
      </w:r>
      <w:proofErr w:type="spellStart"/>
      <w:r w:rsidRPr="00232493">
        <w:rPr>
          <w:rFonts w:ascii="Bookman Old Style" w:hAnsi="Bookman Old Style"/>
          <w:sz w:val="18"/>
          <w:szCs w:val="18"/>
        </w:rPr>
        <w:t>Тильзитского</w:t>
      </w:r>
      <w:proofErr w:type="spellEnd"/>
      <w:r w:rsidRPr="00232493">
        <w:rPr>
          <w:rFonts w:ascii="Bookman Old Style" w:hAnsi="Bookman Old Style"/>
          <w:sz w:val="18"/>
          <w:szCs w:val="18"/>
        </w:rPr>
        <w:t xml:space="preserve"> мира в 1807 году, оружейный гарнитур работы Никола-</w:t>
      </w:r>
      <w:proofErr w:type="spellStart"/>
      <w:r w:rsidRPr="00232493">
        <w:rPr>
          <w:rFonts w:ascii="Bookman Old Style" w:hAnsi="Bookman Old Style"/>
          <w:sz w:val="18"/>
          <w:szCs w:val="18"/>
        </w:rPr>
        <w:t>Ноэля</w:t>
      </w:r>
      <w:proofErr w:type="spellEnd"/>
      <w:r w:rsidRPr="00232493">
        <w:rPr>
          <w:rFonts w:ascii="Bookman Old Style" w:hAnsi="Bookman Old Style"/>
          <w:sz w:val="18"/>
          <w:szCs w:val="18"/>
        </w:rPr>
        <w:t xml:space="preserve"> </w:t>
      </w:r>
      <w:proofErr w:type="spellStart"/>
      <w:r w:rsidRPr="00232493">
        <w:rPr>
          <w:rFonts w:ascii="Bookman Old Style" w:hAnsi="Bookman Old Style"/>
          <w:sz w:val="18"/>
          <w:szCs w:val="18"/>
        </w:rPr>
        <w:t>Бутэ</w:t>
      </w:r>
      <w:proofErr w:type="spellEnd"/>
      <w:r w:rsidRPr="00232493">
        <w:rPr>
          <w:rFonts w:ascii="Bookman Old Style" w:hAnsi="Bookman Old Style"/>
          <w:sz w:val="18"/>
          <w:szCs w:val="18"/>
        </w:rPr>
        <w:t xml:space="preserve"> – подарок русскому генерал-губернатору Парижа барону </w:t>
      </w:r>
      <w:proofErr w:type="spellStart"/>
      <w:r w:rsidRPr="00232493">
        <w:rPr>
          <w:rFonts w:ascii="Bookman Old Style" w:hAnsi="Bookman Old Style"/>
          <w:sz w:val="18"/>
          <w:szCs w:val="18"/>
        </w:rPr>
        <w:t>Фабиану</w:t>
      </w:r>
      <w:proofErr w:type="spellEnd"/>
      <w:r w:rsidRPr="00232493">
        <w:rPr>
          <w:rFonts w:ascii="Bookman Old Style" w:hAnsi="Bookman Old Style"/>
          <w:sz w:val="18"/>
          <w:szCs w:val="18"/>
        </w:rPr>
        <w:t xml:space="preserve"> </w:t>
      </w:r>
      <w:proofErr w:type="spellStart"/>
      <w:r w:rsidRPr="00232493">
        <w:rPr>
          <w:rFonts w:ascii="Bookman Old Style" w:hAnsi="Bookman Old Style"/>
          <w:sz w:val="18"/>
          <w:szCs w:val="18"/>
        </w:rPr>
        <w:t>Вильгельмовичу</w:t>
      </w:r>
      <w:proofErr w:type="spellEnd"/>
      <w:r w:rsidRPr="00232493">
        <w:rPr>
          <w:rFonts w:ascii="Bookman Old Style" w:hAnsi="Bookman Old Style"/>
          <w:sz w:val="18"/>
          <w:szCs w:val="18"/>
        </w:rPr>
        <w:t xml:space="preserve"> фон дер Остен-</w:t>
      </w:r>
      <w:proofErr w:type="spellStart"/>
      <w:r w:rsidRPr="00232493">
        <w:rPr>
          <w:rFonts w:ascii="Bookman Old Style" w:hAnsi="Bookman Old Style"/>
          <w:sz w:val="18"/>
          <w:szCs w:val="18"/>
        </w:rPr>
        <w:t>Сакену</w:t>
      </w:r>
      <w:proofErr w:type="spellEnd"/>
      <w:r w:rsidRPr="00232493">
        <w:rPr>
          <w:rFonts w:ascii="Bookman Old Style" w:hAnsi="Bookman Old Style"/>
          <w:sz w:val="18"/>
          <w:szCs w:val="18"/>
        </w:rPr>
        <w:t xml:space="preserve"> от благодарных жителей города, а также звезда ордена Св. Духа, врученная императору Александру I королем Людовиком XVIII после победы над Наполеоном и реставрации монархии во Франции. Экспозиция знакомит с историей «русской Ниццы», рассказывает об участии Оружейной палаты во Всемирной выставке 1867 года в Париже, об укреплении франко-российской дружбы и заключении союза в конце XIX столетия.</w:t>
      </w:r>
    </w:p>
    <w:p w:rsidR="00232493" w:rsidRDefault="00232493" w:rsidP="00232493">
      <w:pPr>
        <w:rPr>
          <w:rFonts w:ascii="Bookman Old Style" w:hAnsi="Bookman Old Style"/>
          <w:sz w:val="18"/>
          <w:szCs w:val="18"/>
        </w:rPr>
      </w:pPr>
      <w:r w:rsidRPr="00232493">
        <w:rPr>
          <w:rFonts w:ascii="Bookman Old Style" w:hAnsi="Bookman Old Style"/>
          <w:sz w:val="18"/>
          <w:szCs w:val="18"/>
        </w:rPr>
        <w:t>Экспонаты выставки служат зримым свидетельством прочности многовековых культурных связей России и Франции, взаимного интереса и уважения к традициям и духовной жизни наших народов.</w:t>
      </w:r>
    </w:p>
    <w:p w:rsidR="00DA6962" w:rsidRDefault="00DA6962" w:rsidP="00232493">
      <w:pPr>
        <w:rPr>
          <w:rFonts w:ascii="Bookman Old Style" w:hAnsi="Bookman Old Style"/>
          <w:sz w:val="18"/>
          <w:szCs w:val="18"/>
        </w:rPr>
      </w:pPr>
    </w:p>
    <w:p w:rsidR="00DA6962" w:rsidRPr="00DA6962" w:rsidRDefault="00DA6962" w:rsidP="00232493">
      <w:pPr>
        <w:rPr>
          <w:rFonts w:ascii="Bookman Old Style" w:hAnsi="Bookman Old Style"/>
          <w:b/>
        </w:rPr>
      </w:pPr>
      <w:r w:rsidRPr="00DA6962">
        <w:rPr>
          <w:rFonts w:ascii="Bookman Old Style" w:hAnsi="Bookman Old Style"/>
          <w:b/>
        </w:rPr>
        <w:t>Стоимость 13000 на группу 10 человек.</w:t>
      </w:r>
    </w:p>
    <w:p w:rsidR="00DA6962" w:rsidRPr="00232493" w:rsidRDefault="00DA6962" w:rsidP="00232493">
      <w:pPr>
        <w:rPr>
          <w:rFonts w:ascii="Bookman Old Style" w:hAnsi="Bookman Old Style"/>
          <w:sz w:val="18"/>
          <w:szCs w:val="18"/>
        </w:rPr>
      </w:pPr>
    </w:p>
    <w:p w:rsidR="00232493" w:rsidRPr="00232493" w:rsidRDefault="00232493" w:rsidP="00232493">
      <w:pPr>
        <w:rPr>
          <w:rFonts w:ascii="Bookman Old Style" w:hAnsi="Bookman Old Style"/>
          <w:sz w:val="18"/>
          <w:szCs w:val="18"/>
        </w:rPr>
      </w:pPr>
      <w:bookmarkStart w:id="0" w:name="_GoBack"/>
      <w:bookmarkEnd w:id="0"/>
    </w:p>
    <w:p w:rsidR="009751A0" w:rsidRPr="00232493" w:rsidRDefault="009751A0">
      <w:pPr>
        <w:rPr>
          <w:rFonts w:ascii="Bookman Old Style" w:hAnsi="Bookman Old Style"/>
          <w:sz w:val="18"/>
          <w:szCs w:val="18"/>
        </w:rPr>
      </w:pPr>
    </w:p>
    <w:sectPr w:rsidR="009751A0" w:rsidRPr="00232493" w:rsidSect="00DA6962">
      <w:pgSz w:w="11906" w:h="16838"/>
      <w:pgMar w:top="284"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A0"/>
    <w:rsid w:val="00093053"/>
    <w:rsid w:val="00232493"/>
    <w:rsid w:val="00347FE9"/>
    <w:rsid w:val="009751A0"/>
    <w:rsid w:val="00BB41AB"/>
    <w:rsid w:val="00DA6962"/>
    <w:rsid w:val="00E031B4"/>
    <w:rsid w:val="00E4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030D4-4AFB-4EDD-95D7-CFFB8331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1A0"/>
    <w:pPr>
      <w:spacing w:after="0" w:line="240" w:lineRule="auto"/>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1A0"/>
    <w:pPr>
      <w:jc w:val="left"/>
    </w:pPr>
    <w:rPr>
      <w:rFonts w:ascii="Tahoma" w:hAnsi="Tahoma" w:cs="Tahoma"/>
      <w:sz w:val="16"/>
      <w:szCs w:val="16"/>
    </w:rPr>
  </w:style>
  <w:style w:type="character" w:customStyle="1" w:styleId="a4">
    <w:name w:val="Текст выноски Знак"/>
    <w:basedOn w:val="a0"/>
    <w:link w:val="a3"/>
    <w:uiPriority w:val="99"/>
    <w:semiHidden/>
    <w:rsid w:val="009751A0"/>
    <w:rPr>
      <w:rFonts w:ascii="Tahoma" w:hAnsi="Tahoma" w:cs="Tahoma"/>
      <w:sz w:val="16"/>
      <w:szCs w:val="16"/>
    </w:rPr>
  </w:style>
  <w:style w:type="character" w:styleId="a5">
    <w:name w:val="Hyperlink"/>
    <w:basedOn w:val="a0"/>
    <w:rsid w:val="00E03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kreml.ru/pi/c4m1/i49225/plaie.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kreml.ru/pi/c4m1/i49225/shpalerapetr.jpg" TargetMode="External"/><Relationship Id="rId12" Type="http://schemas.openxmlformats.org/officeDocument/2006/relationships/image" Target="media/image4.jpeg"/><Relationship Id="rId17" Type="http://schemas.openxmlformats.org/officeDocument/2006/relationships/hyperlink" Target="https://www.kreml.ru/pi/c4m1/i49225/pismpribor.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russia-tour.ru" TargetMode="External"/><Relationship Id="rId11" Type="http://schemas.openxmlformats.org/officeDocument/2006/relationships/hyperlink" Target="https://www.kreml.ru/pi/c4m1/i49225/kaftan.jpg" TargetMode="External"/><Relationship Id="rId5" Type="http://schemas.openxmlformats.org/officeDocument/2006/relationships/hyperlink" Target="mailto:marussia@marussia-tour.ru" TargetMode="External"/><Relationship Id="rId15" Type="http://schemas.openxmlformats.org/officeDocument/2006/relationships/hyperlink" Target="https://www.kreml.ru/pi/c4m1/i49225/orlovskiyserviz.jpg"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image" Target="media/image1.jpeg"/><Relationship Id="rId9" Type="http://schemas.openxmlformats.org/officeDocument/2006/relationships/hyperlink" Target="https://www.kreml.ru/pi/c4m1/i49225/tabakerka.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Maria</cp:lastModifiedBy>
  <cp:revision>2</cp:revision>
  <dcterms:created xsi:type="dcterms:W3CDTF">2021-09-03T13:13:00Z</dcterms:created>
  <dcterms:modified xsi:type="dcterms:W3CDTF">2021-09-03T13:13:00Z</dcterms:modified>
</cp:coreProperties>
</file>